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1BA" w:rsidRDefault="003438A4" w:rsidP="007078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20955</wp:posOffset>
                </wp:positionV>
                <wp:extent cx="6075045" cy="30460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046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69"/>
                              <w:gridCol w:w="850"/>
                              <w:gridCol w:w="4396"/>
                            </w:tblGrid>
                            <w:tr w:rsidR="00D610CD" w:rsidTr="005C783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832" w:rsidRDefault="005C78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7832" w:rsidRDefault="005C783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11BA" w:rsidRDefault="00FC11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610CD" w:rsidRDefault="00D610C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610CD" w:rsidRPr="00BA3527" w:rsidRDefault="00D610CD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D610CD" w:rsidRDefault="00D610CD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610CD" w:rsidTr="005C783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gridSpan w:val="2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610CD" w:rsidRPr="006948C8" w:rsidRDefault="006948C8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r w:rsidRPr="006948C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19.04.2018</w:t>
                                  </w:r>
                                  <w:r w:rsidR="00FC11BA" w:rsidRPr="006948C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D610CD" w:rsidRPr="006948C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6948C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89-п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610CD" w:rsidRDefault="00D610C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610CD" w:rsidTr="005C7832">
                              <w:trPr>
                                <w:trHeight w:val="850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D610CD" w:rsidRDefault="00D610CD" w:rsidP="007E236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временном прекращении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движения транспорта 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610CD" w:rsidRDefault="00D610C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0CD" w:rsidRDefault="00D610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.65pt;width:478.35pt;height:239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69"/>
                        <w:gridCol w:w="850"/>
                        <w:gridCol w:w="4396"/>
                      </w:tblGrid>
                      <w:tr w:rsidR="00D610CD" w:rsidTr="005C783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C7832" w:rsidRDefault="005C783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C7832" w:rsidRDefault="005C783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11BA" w:rsidRDefault="00FC11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10CD" w:rsidRDefault="00D610C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610CD" w:rsidRPr="00BA3527" w:rsidRDefault="00D610CD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D610CD" w:rsidRDefault="00D610CD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610CD" w:rsidTr="005C783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gridSpan w:val="2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610CD" w:rsidRPr="006948C8" w:rsidRDefault="006948C8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6948C8">
                              <w:rPr>
                                <w:sz w:val="28"/>
                                <w:szCs w:val="28"/>
                                <w:u w:val="single"/>
                              </w:rPr>
                              <w:t>19.04.2018</w:t>
                            </w:r>
                            <w:r w:rsidR="00FC11BA" w:rsidRPr="006948C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610CD" w:rsidRPr="006948C8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6948C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89-п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610CD" w:rsidRDefault="00D610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610CD" w:rsidTr="005C7832">
                        <w:trPr>
                          <w:trHeight w:val="850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D610CD" w:rsidRDefault="00D610CD" w:rsidP="007E236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временном прекращении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движения транспорта 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610CD" w:rsidRDefault="00D610C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610CD" w:rsidRDefault="00D610CD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</w:t>
      </w:r>
      <w:r w:rsidR="00045C16" w:rsidRPr="000B35B1">
        <w:rPr>
          <w:sz w:val="28"/>
          <w:szCs w:val="28"/>
        </w:rPr>
        <w:t xml:space="preserve"> </w:t>
      </w:r>
    </w:p>
    <w:p w:rsidR="00FC11BA" w:rsidRPr="00FC11BA" w:rsidRDefault="00FC11BA" w:rsidP="007078B5">
      <w:pPr>
        <w:jc w:val="both"/>
        <w:rPr>
          <w:sz w:val="18"/>
          <w:szCs w:val="28"/>
        </w:rPr>
      </w:pPr>
    </w:p>
    <w:p w:rsidR="00541557" w:rsidRDefault="00541557" w:rsidP="00541557">
      <w:pPr>
        <w:ind w:firstLine="708"/>
        <w:jc w:val="both"/>
        <w:rPr>
          <w:sz w:val="28"/>
          <w:szCs w:val="28"/>
        </w:rPr>
      </w:pPr>
      <w:r w:rsidRPr="000B35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B35B1">
        <w:rPr>
          <w:sz w:val="28"/>
          <w:szCs w:val="28"/>
        </w:rPr>
        <w:t>пунктом 5 части 1 статьи 14 Федерального Закона от 6 октября 2003</w:t>
      </w:r>
      <w:r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B35B1">
        <w:rPr>
          <w:sz w:val="28"/>
          <w:szCs w:val="28"/>
        </w:rPr>
        <w:t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r w:rsidRPr="00F53453">
        <w:rPr>
          <w:sz w:val="28"/>
          <w:szCs w:val="28"/>
        </w:rPr>
        <w:t xml:space="preserve"> </w:t>
      </w:r>
      <w:r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постановлением Правительства Оренбургской области</w:t>
      </w:r>
      <w:r w:rsidRPr="000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07.03.2012года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 значения Оренбургской области»</w:t>
      </w:r>
      <w:r w:rsidRPr="000B35B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безопасности дорожного движения при проведении культурно-массовых мероприятий, </w:t>
      </w:r>
      <w:r w:rsidRPr="000B35B1">
        <w:rPr>
          <w:sz w:val="28"/>
          <w:szCs w:val="28"/>
        </w:rPr>
        <w:t>руководствуясь Уставом МО</w:t>
      </w:r>
      <w:r>
        <w:rPr>
          <w:sz w:val="28"/>
          <w:szCs w:val="28"/>
        </w:rPr>
        <w:t xml:space="preserve"> Новосергиевский поссовет:</w:t>
      </w:r>
    </w:p>
    <w:p w:rsidR="00541557" w:rsidRDefault="00541557" w:rsidP="00541557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Запретить движение транспортных средств:  -</w:t>
      </w:r>
      <w:r w:rsidRPr="005D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27 апреля, 03, 07 мая 2018 года </w:t>
      </w:r>
      <w:r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15 часов 00 минут</w:t>
      </w:r>
      <w:r w:rsidRPr="005D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17 часов  00 минут, на участке дороги по проспекту Калинина в поселке Новосергиевка от места примыкания с улицей Луначарского, до места примыкания с улицей Пушкина, -  09 мая 2018 года с 09 часов 00 минут до 14 часов 00 минут на участке дороги по улице Краснопартизанская в поселке Новосергиевка от улицы Красноармейская до улицы Пушкина и на участке дороги по проспекту Калинина в поселке Новосергиевка от места примыкания с улицей Пушкина, до места примыкания с улицей Луначарского.</w:t>
      </w:r>
    </w:p>
    <w:p w:rsidR="00541557" w:rsidRDefault="00541557" w:rsidP="00541557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дорожное движение в объезд перекрываемого для движения участка дороги 27 апреля, 03,07 мая 2018 года</w:t>
      </w:r>
      <w:r w:rsidRPr="004B6871">
        <w:rPr>
          <w:rFonts w:ascii="Times New Roman" w:hAnsi="Times New Roman"/>
          <w:sz w:val="28"/>
          <w:szCs w:val="28"/>
        </w:rPr>
        <w:t xml:space="preserve"> </w:t>
      </w:r>
      <w:r w:rsidRPr="005D6C3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15 часов 00 минут</w:t>
      </w:r>
      <w:r w:rsidRPr="005D6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D6C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17 часов  00 минут – по улицам Краснопартизанская, Восточная, Пушкина, 8 Марта, Гоголя, Гагарина, - 09 мая 2018 года с 09 часов 00 минут до 14 часов 00 минут в объезд перекрываемого участка дороги – по улицам Спортивная, Грейдерная,  8 Марта, Гоголя, Гагарина, Чернышевского, Красногвардейская, Культурная, Восточная.</w:t>
      </w:r>
    </w:p>
    <w:p w:rsidR="00541557" w:rsidRDefault="00541557" w:rsidP="00541557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начальнику ОМВД РФ по Новосергиевскому району В. А. Мокроусову организовать обеспечение охраны общественного порядка,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безопасность граждан и безопасность дорожного движения при временном прекращении движения транспортных средств на указанном участке улично-дорожной сети. </w:t>
      </w:r>
    </w:p>
    <w:p w:rsidR="00541557" w:rsidRDefault="00541557" w:rsidP="005415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541557" w:rsidRPr="000B35B1" w:rsidRDefault="00541557" w:rsidP="005415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Ведущему специалисту И.В. Скотаренко обеспечить оповещение в средствах массовой информации о временном прекращении движения транспортных средств на период проведения культурно-массовых мероприятий.</w:t>
      </w:r>
    </w:p>
    <w:p w:rsidR="00541557" w:rsidRDefault="00541557" w:rsidP="005415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B35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Поручить организацию исполнения настоящего постановления заместителю главы Н.И. Кулешову</w:t>
      </w:r>
      <w:r w:rsidRPr="000B35B1">
        <w:rPr>
          <w:rFonts w:ascii="Times New Roman" w:hAnsi="Times New Roman"/>
          <w:sz w:val="28"/>
          <w:szCs w:val="28"/>
        </w:rPr>
        <w:t>.</w:t>
      </w:r>
    </w:p>
    <w:p w:rsidR="00A85FF7" w:rsidRDefault="00A85FF7" w:rsidP="005415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Постановление вступает в силу после его официального опубликования (обнародования).</w:t>
      </w:r>
    </w:p>
    <w:p w:rsidR="00A85FF7" w:rsidRPr="000B35B1" w:rsidRDefault="00A85FF7" w:rsidP="005415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557" w:rsidRPr="000B35B1" w:rsidRDefault="00541557" w:rsidP="0054155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541557" w:rsidRPr="000B35B1" w:rsidRDefault="00541557" w:rsidP="0054155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541557" w:rsidRPr="000B35B1" w:rsidRDefault="00541557" w:rsidP="0054155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>
        <w:rPr>
          <w:rFonts w:ascii="Times New Roman" w:hAnsi="Times New Roman"/>
          <w:sz w:val="28"/>
          <w:szCs w:val="28"/>
        </w:rPr>
        <w:t>Ю.П. Банников</w:t>
      </w:r>
    </w:p>
    <w:p w:rsidR="00FC11BA" w:rsidRDefault="00FC11BA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11BA" w:rsidRDefault="00FC11BA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45C16" w:rsidRPr="00FC11BA" w:rsidRDefault="00045C16" w:rsidP="00045C16">
      <w:pPr>
        <w:pStyle w:val="ac"/>
        <w:jc w:val="both"/>
        <w:rPr>
          <w:rFonts w:ascii="Times New Roman" w:hAnsi="Times New Roman"/>
          <w:sz w:val="28"/>
          <w:szCs w:val="24"/>
        </w:rPr>
      </w:pPr>
      <w:r w:rsidRPr="00FC11BA">
        <w:rPr>
          <w:rFonts w:ascii="Times New Roman" w:hAnsi="Times New Roman"/>
          <w:sz w:val="28"/>
          <w:szCs w:val="24"/>
        </w:rPr>
        <w:t xml:space="preserve">Разослано: в дело, </w:t>
      </w:r>
      <w:r w:rsidR="0022011A" w:rsidRPr="00FC11BA">
        <w:rPr>
          <w:rFonts w:ascii="Times New Roman" w:hAnsi="Times New Roman"/>
          <w:sz w:val="28"/>
          <w:szCs w:val="24"/>
        </w:rPr>
        <w:t xml:space="preserve">Н.И. Кулешову, М.В. Ефанову, М.А. Щетинину, </w:t>
      </w:r>
      <w:r w:rsidRPr="00FC11BA">
        <w:rPr>
          <w:rFonts w:ascii="Times New Roman" w:hAnsi="Times New Roman"/>
          <w:sz w:val="28"/>
          <w:szCs w:val="24"/>
        </w:rPr>
        <w:t>ОГИБДД ОМВД России по Новосергиевскому району</w:t>
      </w:r>
      <w:r w:rsidR="001516F7" w:rsidRPr="00FC11BA">
        <w:rPr>
          <w:rFonts w:ascii="Times New Roman" w:hAnsi="Times New Roman"/>
          <w:sz w:val="28"/>
          <w:szCs w:val="24"/>
        </w:rPr>
        <w:t xml:space="preserve">, </w:t>
      </w:r>
      <w:r w:rsidR="00DA2BD7" w:rsidRPr="00FC11BA">
        <w:rPr>
          <w:rFonts w:ascii="Times New Roman" w:hAnsi="Times New Roman"/>
          <w:sz w:val="28"/>
          <w:szCs w:val="24"/>
        </w:rPr>
        <w:t>Е.В. Погребной</w:t>
      </w:r>
      <w:r w:rsidR="001516F7" w:rsidRPr="00FC11BA">
        <w:rPr>
          <w:rFonts w:ascii="Times New Roman" w:hAnsi="Times New Roman"/>
          <w:sz w:val="28"/>
          <w:szCs w:val="24"/>
        </w:rPr>
        <w:t>, прокурору</w:t>
      </w:r>
    </w:p>
    <w:p w:rsidR="00DF0552" w:rsidRDefault="00DF0552" w:rsidP="00045C16">
      <w:pPr>
        <w:tabs>
          <w:tab w:val="left" w:pos="993"/>
        </w:tabs>
        <w:jc w:val="both"/>
      </w:pPr>
    </w:p>
    <w:sectPr w:rsidR="00DF0552" w:rsidSect="00FC11BA">
      <w:pgSz w:w="11906" w:h="16838"/>
      <w:pgMar w:top="127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AC" w:rsidRDefault="005153AC" w:rsidP="005D6C30">
      <w:r>
        <w:separator/>
      </w:r>
    </w:p>
  </w:endnote>
  <w:endnote w:type="continuationSeparator" w:id="0">
    <w:p w:rsidR="005153AC" w:rsidRDefault="005153AC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AC" w:rsidRDefault="005153AC" w:rsidP="005D6C30">
      <w:r>
        <w:separator/>
      </w:r>
    </w:p>
  </w:footnote>
  <w:footnote w:type="continuationSeparator" w:id="0">
    <w:p w:rsidR="005153AC" w:rsidRDefault="005153AC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CD2"/>
    <w:rsid w:val="0001675E"/>
    <w:rsid w:val="000168AD"/>
    <w:rsid w:val="000246DF"/>
    <w:rsid w:val="00045C16"/>
    <w:rsid w:val="000E4EFC"/>
    <w:rsid w:val="000F2681"/>
    <w:rsid w:val="000F3AF4"/>
    <w:rsid w:val="0011021D"/>
    <w:rsid w:val="001471A8"/>
    <w:rsid w:val="001516F7"/>
    <w:rsid w:val="0015273C"/>
    <w:rsid w:val="00172226"/>
    <w:rsid w:val="00180DD2"/>
    <w:rsid w:val="001D280F"/>
    <w:rsid w:val="001D4F20"/>
    <w:rsid w:val="001D667C"/>
    <w:rsid w:val="001D71C9"/>
    <w:rsid w:val="001E1A55"/>
    <w:rsid w:val="0020287E"/>
    <w:rsid w:val="00211816"/>
    <w:rsid w:val="0021669B"/>
    <w:rsid w:val="00217456"/>
    <w:rsid w:val="0022011A"/>
    <w:rsid w:val="0022102F"/>
    <w:rsid w:val="002243BE"/>
    <w:rsid w:val="002A5DAE"/>
    <w:rsid w:val="002A76C5"/>
    <w:rsid w:val="002D2B2D"/>
    <w:rsid w:val="002D5BD6"/>
    <w:rsid w:val="002E05A9"/>
    <w:rsid w:val="00306D36"/>
    <w:rsid w:val="00321EF0"/>
    <w:rsid w:val="00327D23"/>
    <w:rsid w:val="00335E0A"/>
    <w:rsid w:val="003438A4"/>
    <w:rsid w:val="00354C71"/>
    <w:rsid w:val="003A3BBE"/>
    <w:rsid w:val="003A7CA2"/>
    <w:rsid w:val="003B135C"/>
    <w:rsid w:val="003D3212"/>
    <w:rsid w:val="003F6ABC"/>
    <w:rsid w:val="00403CD4"/>
    <w:rsid w:val="00407925"/>
    <w:rsid w:val="00410D67"/>
    <w:rsid w:val="004265BC"/>
    <w:rsid w:val="00487AD7"/>
    <w:rsid w:val="004931B6"/>
    <w:rsid w:val="004E0DE4"/>
    <w:rsid w:val="005153AC"/>
    <w:rsid w:val="0052193B"/>
    <w:rsid w:val="005227FF"/>
    <w:rsid w:val="0052492F"/>
    <w:rsid w:val="00541557"/>
    <w:rsid w:val="0054287B"/>
    <w:rsid w:val="005B5A65"/>
    <w:rsid w:val="005C7832"/>
    <w:rsid w:val="005C7B61"/>
    <w:rsid w:val="005D6C30"/>
    <w:rsid w:val="00605A13"/>
    <w:rsid w:val="00627795"/>
    <w:rsid w:val="006536C6"/>
    <w:rsid w:val="00666B03"/>
    <w:rsid w:val="00681144"/>
    <w:rsid w:val="006948C8"/>
    <w:rsid w:val="006E053C"/>
    <w:rsid w:val="006F7B15"/>
    <w:rsid w:val="007009BF"/>
    <w:rsid w:val="007078B5"/>
    <w:rsid w:val="0070791D"/>
    <w:rsid w:val="00711EC3"/>
    <w:rsid w:val="007171FF"/>
    <w:rsid w:val="0074310D"/>
    <w:rsid w:val="00765919"/>
    <w:rsid w:val="007671E1"/>
    <w:rsid w:val="00771A7D"/>
    <w:rsid w:val="00787524"/>
    <w:rsid w:val="007908E2"/>
    <w:rsid w:val="007912DE"/>
    <w:rsid w:val="00795798"/>
    <w:rsid w:val="007E2365"/>
    <w:rsid w:val="007E6DC5"/>
    <w:rsid w:val="00814B98"/>
    <w:rsid w:val="00823903"/>
    <w:rsid w:val="00826AB4"/>
    <w:rsid w:val="008462D1"/>
    <w:rsid w:val="008610ED"/>
    <w:rsid w:val="00883471"/>
    <w:rsid w:val="00883C87"/>
    <w:rsid w:val="008843E4"/>
    <w:rsid w:val="00893071"/>
    <w:rsid w:val="008D528D"/>
    <w:rsid w:val="00904555"/>
    <w:rsid w:val="009149E5"/>
    <w:rsid w:val="009222D9"/>
    <w:rsid w:val="00926E0F"/>
    <w:rsid w:val="009368C2"/>
    <w:rsid w:val="00996BC8"/>
    <w:rsid w:val="009D1059"/>
    <w:rsid w:val="009F6DF2"/>
    <w:rsid w:val="00A016D4"/>
    <w:rsid w:val="00A22774"/>
    <w:rsid w:val="00A26E3B"/>
    <w:rsid w:val="00A32D70"/>
    <w:rsid w:val="00A46EAF"/>
    <w:rsid w:val="00A62BD5"/>
    <w:rsid w:val="00A81E5D"/>
    <w:rsid w:val="00A85FF7"/>
    <w:rsid w:val="00A8745B"/>
    <w:rsid w:val="00A97304"/>
    <w:rsid w:val="00AB1AB4"/>
    <w:rsid w:val="00AB200D"/>
    <w:rsid w:val="00AC29EA"/>
    <w:rsid w:val="00AD365F"/>
    <w:rsid w:val="00B23F47"/>
    <w:rsid w:val="00B405C5"/>
    <w:rsid w:val="00B464DD"/>
    <w:rsid w:val="00B94412"/>
    <w:rsid w:val="00BA1986"/>
    <w:rsid w:val="00BA3527"/>
    <w:rsid w:val="00BB074B"/>
    <w:rsid w:val="00BC2BC3"/>
    <w:rsid w:val="00BD253F"/>
    <w:rsid w:val="00BD29C8"/>
    <w:rsid w:val="00BF1CE4"/>
    <w:rsid w:val="00C01480"/>
    <w:rsid w:val="00C153B9"/>
    <w:rsid w:val="00C24204"/>
    <w:rsid w:val="00C276C2"/>
    <w:rsid w:val="00C84FB8"/>
    <w:rsid w:val="00C8787B"/>
    <w:rsid w:val="00CA0B06"/>
    <w:rsid w:val="00CA4BF4"/>
    <w:rsid w:val="00CA7EF9"/>
    <w:rsid w:val="00CB4EDC"/>
    <w:rsid w:val="00CC1F75"/>
    <w:rsid w:val="00CC7243"/>
    <w:rsid w:val="00CD2948"/>
    <w:rsid w:val="00CD5BE7"/>
    <w:rsid w:val="00CD6A16"/>
    <w:rsid w:val="00D47574"/>
    <w:rsid w:val="00D610CD"/>
    <w:rsid w:val="00D85642"/>
    <w:rsid w:val="00DA2BD7"/>
    <w:rsid w:val="00DE1975"/>
    <w:rsid w:val="00DF0552"/>
    <w:rsid w:val="00E13618"/>
    <w:rsid w:val="00E27C7E"/>
    <w:rsid w:val="00E32B1E"/>
    <w:rsid w:val="00E36B31"/>
    <w:rsid w:val="00E43EAD"/>
    <w:rsid w:val="00E855E6"/>
    <w:rsid w:val="00E95E78"/>
    <w:rsid w:val="00EA0EDA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45BA4"/>
    <w:rsid w:val="00F51180"/>
    <w:rsid w:val="00F53453"/>
    <w:rsid w:val="00F56A0B"/>
    <w:rsid w:val="00F83C16"/>
    <w:rsid w:val="00F84DD9"/>
    <w:rsid w:val="00FA305A"/>
    <w:rsid w:val="00FB5254"/>
    <w:rsid w:val="00FC11BA"/>
    <w:rsid w:val="00FF1B5D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510F-B0E4-4B2E-A457-8DF2F4B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2018-04-20T04:07:00Z</cp:lastPrinted>
  <dcterms:created xsi:type="dcterms:W3CDTF">2018-04-27T04:50:00Z</dcterms:created>
  <dcterms:modified xsi:type="dcterms:W3CDTF">2018-04-27T04:50:00Z</dcterms:modified>
</cp:coreProperties>
</file>